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AC0EFC">
        <w:rPr>
          <w:b/>
          <w:lang w:val="es-ES"/>
        </w:rPr>
        <w:t>3-9</w:t>
      </w:r>
      <w:r w:rsidR="007E052F" w:rsidRPr="007E052F">
        <w:rPr>
          <w:b/>
          <w:lang w:val="es-ES"/>
        </w:rPr>
        <w:t xml:space="preserve"> февраля</w:t>
      </w:r>
      <w:r w:rsidR="007E052F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>2025г</w:t>
      </w:r>
      <w:r w:rsidRPr="00CA68AF">
        <w:rPr>
          <w:b/>
        </w:rPr>
        <w:t>)</w:t>
      </w:r>
    </w:p>
    <w:p w:rsidR="00BA4729" w:rsidRDefault="00BA4729" w:rsidP="008A7C91">
      <w:pPr>
        <w:rPr>
          <w:b/>
        </w:rPr>
      </w:pPr>
    </w:p>
    <w:p w:rsidR="007E052F" w:rsidRPr="00CA68AF" w:rsidRDefault="007E052F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2F7258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90077288" w:history="1">
            <w:r w:rsidR="002F7258" w:rsidRPr="00B07955">
              <w:rPr>
                <w:rStyle w:val="Hipervnculo"/>
                <w:rFonts w:ascii="Symbol" w:hAnsi="Symbol"/>
                <w:noProof/>
              </w:rPr>
              <w:t></w:t>
            </w:r>
            <w:r w:rsidR="002F7258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2F7258" w:rsidRPr="00B07955">
              <w:rPr>
                <w:rStyle w:val="Hipervnculo"/>
                <w:noProof/>
              </w:rPr>
              <w:t>ГЛАВНОЕ</w:t>
            </w:r>
            <w:r w:rsidR="002F7258">
              <w:rPr>
                <w:noProof/>
                <w:webHidden/>
              </w:rPr>
              <w:tab/>
            </w:r>
            <w:r w:rsidR="002F7258">
              <w:rPr>
                <w:noProof/>
                <w:webHidden/>
              </w:rPr>
              <w:fldChar w:fldCharType="begin"/>
            </w:r>
            <w:r w:rsidR="002F7258">
              <w:rPr>
                <w:noProof/>
                <w:webHidden/>
              </w:rPr>
              <w:instrText xml:space="preserve"> PAGEREF _Toc190077288 \h </w:instrText>
            </w:r>
            <w:r w:rsidR="002F7258">
              <w:rPr>
                <w:noProof/>
                <w:webHidden/>
              </w:rPr>
            </w:r>
            <w:r w:rsidR="002F7258">
              <w:rPr>
                <w:noProof/>
                <w:webHidden/>
              </w:rPr>
              <w:fldChar w:fldCharType="separate"/>
            </w:r>
            <w:r w:rsidR="002F7258">
              <w:rPr>
                <w:noProof/>
                <w:webHidden/>
              </w:rPr>
              <w:t>2</w:t>
            </w:r>
            <w:r w:rsidR="002F7258"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89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Диас-Канель: Латинская Америка и Карибы находятся под угрозой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0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Министерство иностранных дел передает функции легализации Министерству юстиции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1" w:history="1">
            <w:r w:rsidRPr="00B07955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2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МИД Китая осудил враждебную политику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3" w:history="1">
            <w:r w:rsidRPr="00B07955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4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Парламентарии Кубы и Намибии провели переговоры в Гаване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5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Университеты Эквадора и Кубы подписали соглашение о сотрудничестве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6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Куба и Колумбия выступают за укрепление межпарламентских связей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7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Марко Рубио обрушился с критикой на Кубу, Венесуэлу и Никарагуа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8" w:history="1">
            <w:r w:rsidRPr="00B07955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7258" w:rsidRDefault="002F7258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0077299" w:history="1">
            <w:r w:rsidRPr="00B0795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07955">
              <w:rPr>
                <w:rStyle w:val="Hipervnculo"/>
                <w:noProof/>
              </w:rPr>
              <w:t>Кубинские сотрудники в Москве принимают участие в мероприятиях, посвященных Дню дипломатии.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284C94" w:rsidRDefault="00284C94" w:rsidP="00A57E6E"/>
    <w:p w:rsidR="00284C94" w:rsidRDefault="00284C94" w:rsidP="00A57E6E"/>
    <w:p w:rsidR="00284C94" w:rsidRDefault="00284C94" w:rsidP="00A57E6E"/>
    <w:p w:rsidR="00D51FC4" w:rsidRDefault="00D51FC4" w:rsidP="00A57E6E"/>
    <w:p w:rsidR="000E7AD3" w:rsidRPr="00D23CCC" w:rsidRDefault="00C952AA" w:rsidP="00263D94">
      <w:pPr>
        <w:pStyle w:val="Ttulo2"/>
        <w:framePr w:w="2910" w:h="436" w:hRule="exact" w:wrap="notBeside" w:x="4389" w:y="-116"/>
      </w:pPr>
      <w:bookmarkStart w:id="1" w:name="_Toc190077288"/>
      <w:r w:rsidRPr="00194C6B">
        <w:lastRenderedPageBreak/>
        <w:t>ГЛАВНОЕ</w:t>
      </w:r>
      <w:bookmarkEnd w:id="1"/>
    </w:p>
    <w:p w:rsidR="00AC0EFC" w:rsidRDefault="00D23CCC" w:rsidP="00D23CCC">
      <w:pPr>
        <w:pStyle w:val="Ttulo1"/>
      </w:pPr>
      <w:bookmarkStart w:id="2" w:name="_Toc190077289"/>
      <w:r w:rsidRPr="00D23CCC">
        <w:t>Диас-Канель: Латинская Америка и Карибы находятся под угрозой</w:t>
      </w:r>
      <w:bookmarkEnd w:id="2"/>
    </w:p>
    <w:p w:rsidR="00D23CCC" w:rsidRDefault="00D23CCC" w:rsidP="00263D94">
      <w:pPr>
        <w:spacing w:after="0"/>
        <w:rPr>
          <w:b/>
          <w:sz w:val="28"/>
          <w:szCs w:val="28"/>
        </w:rPr>
      </w:pPr>
    </w:p>
    <w:p w:rsidR="00D23CCC" w:rsidRDefault="00D23CCC" w:rsidP="00D23CCC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1DCA3492" wp14:editId="714F9A02">
            <wp:extent cx="1668553" cy="962025"/>
            <wp:effectExtent l="0" t="0" r="8255" b="0"/>
            <wp:docPr id="13" name="Imagen 13" descr="https://ruso.prensa-latina.cu/wp-content/uploads/2025/02/america-latina-en-peligr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2/america-latina-en-peligro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74" cy="9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FC" w:rsidRDefault="00AC0EFC" w:rsidP="00263D94">
      <w:pPr>
        <w:spacing w:after="0"/>
        <w:rPr>
          <w:b/>
          <w:sz w:val="28"/>
          <w:szCs w:val="28"/>
        </w:rPr>
      </w:pPr>
    </w:p>
    <w:p w:rsidR="00D23CCC" w:rsidRDefault="00D23CCC" w:rsidP="00263D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4 февраля. </w:t>
      </w:r>
      <w:r w:rsidRPr="00D23CCC">
        <w:rPr>
          <w:sz w:val="28"/>
          <w:szCs w:val="28"/>
        </w:rPr>
        <w:t>Президент Кубы Мигель Диас-Канель предупредил, что Латинская Америка и Карибский бассейн находятся под угрозой, и только сплоченность может дать отпор империалистическому и олигархическому контрнаступлению.</w:t>
      </w:r>
    </w:p>
    <w:p w:rsidR="00D23CCC" w:rsidRDefault="00D23CCC" w:rsidP="00263D94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t>Выступая на 12-м внеочередном саммите Боливарианского альянса для народов нашей Америки — Договора о торговле между народами (ALBA-TCP), президент заявил, что невозможно забыть интервенционистские эпизоды, которые имели место в регионе несколько лет назад.</w:t>
      </w:r>
    </w:p>
    <w:p w:rsidR="00D23CCC" w:rsidRPr="00D23CCC" w:rsidRDefault="00D23CCC" w:rsidP="00D23CCC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t>«Сегодня правительство США пытается определить варианты для стран региона: либо подчиниться им, либо стать объектом агрессии», — предупредил он.</w:t>
      </w:r>
    </w:p>
    <w:p w:rsidR="00D23CCC" w:rsidRPr="00D23CCC" w:rsidRDefault="00D23CCC" w:rsidP="00D23CCC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t>Диас-Канель осудил, что с 20 января новая администрация США демонстрирует полное пренебрежение к народам Латинской Америки и Карибского бассейна, прибегая ко лжи, манипуляциям и использованию расистских эпитетов.</w:t>
      </w:r>
    </w:p>
    <w:p w:rsidR="00D23CCC" w:rsidRPr="00D23CCC" w:rsidRDefault="00D23CCC" w:rsidP="00D23CCC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t>«Миллионы невинных людей считаются преступниками из-за того, что они являются выходцами из стран Латинской Америки и Карибского бассейна, а правительство США угрожает и пытается узаконить введение односторонних принудительных мер и других решений без уважения к законам других стран», — добавил он.</w:t>
      </w:r>
    </w:p>
    <w:p w:rsidR="00D23CCC" w:rsidRPr="00D23CCC" w:rsidRDefault="00D23CCC" w:rsidP="00D23CCC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t>Отметил, что в этом сценарии необходимо различать риторику и отчаянное стремление этих деятелей достичь краткосрочных целей.</w:t>
      </w:r>
    </w:p>
    <w:p w:rsidR="00D23CCC" w:rsidRPr="00D23CCC" w:rsidRDefault="00D23CCC" w:rsidP="00D23CCC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lastRenderedPageBreak/>
        <w:t>Глава государства считает, что данная встреча, инициатива которой исходит от Секретариата АЛБА-ТСР, весьма полезна для актуализации приоритетов работы блока, обсуждения текущих и будущих задач.</w:t>
      </w:r>
    </w:p>
    <w:p w:rsidR="00D23CCC" w:rsidRPr="00D23CCC" w:rsidRDefault="00D23CCC" w:rsidP="00D23CCC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t>«Мы хотели бы воспользоваться этой возможностью, чтобы поблагодарить членов этого Альянса за их усилия и их требование исключить Кубу из списка предполагаемых террористических стран», — подчеркнул он.</w:t>
      </w:r>
    </w:p>
    <w:p w:rsidR="00D23CCC" w:rsidRPr="00D23CCC" w:rsidRDefault="00D23CCC" w:rsidP="00D23CCC">
      <w:pPr>
        <w:spacing w:after="0"/>
        <w:rPr>
          <w:sz w:val="28"/>
          <w:szCs w:val="28"/>
        </w:rPr>
      </w:pPr>
    </w:p>
    <w:p w:rsidR="00D23CCC" w:rsidRPr="00D23CCC" w:rsidRDefault="00D23CCC" w:rsidP="00D23CCC">
      <w:pPr>
        <w:spacing w:after="0"/>
        <w:rPr>
          <w:sz w:val="28"/>
          <w:szCs w:val="28"/>
        </w:rPr>
      </w:pPr>
      <w:r w:rsidRPr="00D23CCC">
        <w:rPr>
          <w:sz w:val="28"/>
          <w:szCs w:val="28"/>
        </w:rPr>
        <w:t>Администрация Байдена, как и правительство США, была вынуждена признать, хотя и с опозданием, что нет никаких причин или аргументов для того, чтобы сохранять эту карибскую страну в «мошенническом и поддельном списке», отметил он.</w:t>
      </w:r>
      <w:r w:rsidRPr="00D23CCC">
        <w:rPr>
          <w:rFonts w:ascii="Helvetica" w:hAnsi="Helvetica" w:cs="Helvetica"/>
          <w:color w:val="262626"/>
          <w:sz w:val="27"/>
          <w:szCs w:val="27"/>
          <w:shd w:val="clear" w:color="auto" w:fill="FFFFFF"/>
        </w:rPr>
        <w:t xml:space="preserve"> </w:t>
      </w:r>
      <w:r w:rsidRPr="00D23CCC">
        <w:rPr>
          <w:rFonts w:ascii="Helvetica" w:hAnsi="Helvetica" w:cs="Helvetica"/>
          <w:b/>
          <w:color w:val="262626"/>
          <w:sz w:val="27"/>
          <w:szCs w:val="27"/>
          <w:shd w:val="clear" w:color="auto" w:fill="FFFFFF"/>
        </w:rPr>
        <w:t>(Пренса Латина)</w:t>
      </w:r>
    </w:p>
    <w:p w:rsidR="00AF48DE" w:rsidRPr="00AF48DE" w:rsidRDefault="00AF48DE" w:rsidP="00AF48DE">
      <w:pPr>
        <w:pStyle w:val="Ttulo1"/>
      </w:pPr>
      <w:bookmarkStart w:id="3" w:name="_Toc190077290"/>
      <w:r w:rsidRPr="00AF48DE">
        <w:t>Министерство иностранных дел передает функции легализации Министерству юстиции</w:t>
      </w:r>
      <w:bookmarkEnd w:id="3"/>
    </w:p>
    <w:p w:rsidR="00AF48DE" w:rsidRDefault="00AF48DE" w:rsidP="00AF48DE">
      <w:pPr>
        <w:spacing w:after="0"/>
        <w:rPr>
          <w:b/>
          <w:sz w:val="28"/>
          <w:szCs w:val="28"/>
        </w:rPr>
      </w:pPr>
    </w:p>
    <w:p w:rsidR="00AF48DE" w:rsidRPr="00AF48DE" w:rsidRDefault="00AF48DE" w:rsidP="00AF48DE">
      <w:pPr>
        <w:spacing w:after="0"/>
        <w:rPr>
          <w:sz w:val="28"/>
          <w:szCs w:val="28"/>
        </w:rPr>
      </w:pPr>
      <w:r w:rsidRPr="00AF48DE">
        <w:rPr>
          <w:sz w:val="28"/>
          <w:szCs w:val="28"/>
        </w:rPr>
        <w:t>Гавана, 3 февраля 2025 г. - На официальной церемонии, состоявшейся в этот понедельник в штаб-квартире Министерства иностранных дел, функция легализации документов, имеющих силу за рубежом и на территории страны, была передана из Министерства иностранных дел в Министерство юстиции. Церемонию возглавили глава Министерствa юстиции Оскар Мануэль Сильвейра Мартинес и первый заместитель министра Министерства иностранных дел Херардо Пеньяльвер Портал.</w:t>
      </w:r>
    </w:p>
    <w:p w:rsidR="00AF48DE" w:rsidRDefault="00AF48DE" w:rsidP="00AF48DE">
      <w:pPr>
        <w:spacing w:after="0"/>
        <w:rPr>
          <w:sz w:val="28"/>
          <w:szCs w:val="28"/>
        </w:rPr>
      </w:pPr>
    </w:p>
    <w:p w:rsidR="00AF48DE" w:rsidRPr="00AF48DE" w:rsidRDefault="00AF48DE" w:rsidP="00AF48DE">
      <w:pPr>
        <w:spacing w:after="0"/>
        <w:rPr>
          <w:sz w:val="28"/>
          <w:szCs w:val="28"/>
        </w:rPr>
      </w:pPr>
      <w:r w:rsidRPr="00AF48DE">
        <w:rPr>
          <w:sz w:val="28"/>
          <w:szCs w:val="28"/>
        </w:rPr>
        <w:t>Этот перевод осуществляется с целью интеграции всех этапов процесса легализации документов, который разрабатывается органами регистрации, юридическими фирмами и консультантами, а также новым отделом легализации, созданным в Министерстве юстиции для этой цели.</w:t>
      </w:r>
    </w:p>
    <w:p w:rsidR="00AF48DE" w:rsidRDefault="00AF48DE" w:rsidP="00AF48DE">
      <w:pPr>
        <w:spacing w:after="0"/>
        <w:rPr>
          <w:sz w:val="28"/>
          <w:szCs w:val="28"/>
        </w:rPr>
      </w:pPr>
    </w:p>
    <w:p w:rsidR="00D23CCC" w:rsidRDefault="00AF48DE" w:rsidP="00263D94">
      <w:pPr>
        <w:spacing w:after="0"/>
        <w:rPr>
          <w:b/>
          <w:sz w:val="28"/>
          <w:szCs w:val="28"/>
          <w:lang w:val="es-ES"/>
        </w:rPr>
      </w:pPr>
      <w:r w:rsidRPr="00AF48DE">
        <w:rPr>
          <w:sz w:val="28"/>
          <w:szCs w:val="28"/>
        </w:rPr>
        <w:t xml:space="preserve">Министерства иностранных дел, совместно с Министерством юстиции и Международной группой юридических фирм «Servicios Legales S.A.», принял необходимые меры, чтобы гарантировать непрерывность этого процесса без перерывов в оказании услуг по легализации и соблюдение установленных для этого сроков, с качеством и эффективностью, требуемыми населением. </w:t>
      </w:r>
      <w:r w:rsidRPr="00AF48DE">
        <w:rPr>
          <w:b/>
          <w:sz w:val="28"/>
          <w:szCs w:val="28"/>
          <w:lang w:val="es-ES"/>
        </w:rPr>
        <w:t>(Министерство Иностранных Дел)</w:t>
      </w:r>
    </w:p>
    <w:p w:rsidR="00CE37BA" w:rsidRPr="00827539" w:rsidRDefault="00CE37BA" w:rsidP="00263D94">
      <w:pPr>
        <w:spacing w:after="0"/>
        <w:rPr>
          <w:sz w:val="28"/>
          <w:szCs w:val="28"/>
          <w:lang w:val="es-ES"/>
        </w:rPr>
      </w:pPr>
    </w:p>
    <w:p w:rsidR="00D23CCC" w:rsidRPr="00492E21" w:rsidRDefault="00D23CCC" w:rsidP="00263D94">
      <w:pPr>
        <w:spacing w:after="0"/>
        <w:rPr>
          <w:b/>
          <w:sz w:val="28"/>
          <w:szCs w:val="28"/>
        </w:rPr>
      </w:pPr>
    </w:p>
    <w:p w:rsidR="00515FBA" w:rsidRDefault="00515FBA" w:rsidP="00A213E4">
      <w:pPr>
        <w:pStyle w:val="Ttulo2"/>
        <w:framePr w:w="0" w:hRule="auto" w:hSpace="0" w:wrap="auto" w:vAnchor="margin" w:hAnchor="text" w:xAlign="left" w:yAlign="inline"/>
      </w:pPr>
      <w:bookmarkStart w:id="4" w:name="_Toc151975107"/>
      <w:bookmarkStart w:id="5" w:name="_Toc159232082"/>
      <w:bookmarkStart w:id="6" w:name="_Toc164673278"/>
      <w:bookmarkStart w:id="7" w:name="_Toc190077291"/>
      <w:r w:rsidRPr="001C7814">
        <w:lastRenderedPageBreak/>
        <w:t>БЛОКАДА США ПРОТИВ КУБЫ</w:t>
      </w:r>
      <w:bookmarkEnd w:id="4"/>
      <w:bookmarkEnd w:id="5"/>
      <w:bookmarkEnd w:id="6"/>
      <w:bookmarkEnd w:id="7"/>
    </w:p>
    <w:p w:rsidR="00AC0EFC" w:rsidRDefault="00AC0EFC" w:rsidP="00AC0EFC">
      <w:pPr>
        <w:rPr>
          <w:lang w:eastAsia="es-ES"/>
        </w:rPr>
      </w:pPr>
    </w:p>
    <w:p w:rsidR="00AC0EFC" w:rsidRDefault="00827539" w:rsidP="00827539">
      <w:pPr>
        <w:pStyle w:val="Ttulo1"/>
      </w:pPr>
      <w:bookmarkStart w:id="8" w:name="_Toc190077292"/>
      <w:r w:rsidRPr="00827539">
        <w:t>МИД Китая осудил враждебную политику США против Кубы</w:t>
      </w:r>
      <w:bookmarkEnd w:id="8"/>
    </w:p>
    <w:p w:rsidR="00827539" w:rsidRPr="00AC0EFC" w:rsidRDefault="00827539" w:rsidP="00AC0EFC">
      <w:pPr>
        <w:rPr>
          <w:lang w:eastAsia="es-ES"/>
        </w:rPr>
      </w:pPr>
    </w:p>
    <w:p w:rsidR="00AC0EFC" w:rsidRPr="00827539" w:rsidRDefault="00827539" w:rsidP="00827539">
      <w:pPr>
        <w:jc w:val="center"/>
        <w:rPr>
          <w:sz w:val="28"/>
          <w:szCs w:val="28"/>
        </w:rPr>
      </w:pPr>
      <w:r w:rsidRPr="00827539">
        <w:rPr>
          <w:noProof/>
          <w:lang w:val="es-ES" w:eastAsia="es-ES"/>
        </w:rPr>
        <w:drawing>
          <wp:inline distT="0" distB="0" distL="0" distR="0" wp14:anchorId="15D42352" wp14:editId="065BC1E8">
            <wp:extent cx="1743075" cy="1025338"/>
            <wp:effectExtent l="0" t="0" r="0" b="3810"/>
            <wp:docPr id="4" name="Imagen 4" descr="https://ruso.prensa-latina.cu/wp-content/uploads/2025/02/china-cancilleri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2/china-cancilleria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75" cy="10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39" w:rsidRPr="00827539" w:rsidRDefault="00827539" w:rsidP="00827539">
      <w:pPr>
        <w:rPr>
          <w:sz w:val="28"/>
          <w:szCs w:val="28"/>
        </w:rPr>
      </w:pPr>
      <w:r w:rsidRPr="00827539">
        <w:rPr>
          <w:sz w:val="28"/>
          <w:szCs w:val="28"/>
        </w:rPr>
        <w:t xml:space="preserve">Пекин, 5 февраля. </w:t>
      </w:r>
      <w:r w:rsidRPr="00827539">
        <w:rPr>
          <w:sz w:val="28"/>
          <w:szCs w:val="28"/>
        </w:rPr>
        <w:t>Китай выразил свое несогласие и неприятие враждебной политики США против Кубы, которая недавно усилилась новым</w:t>
      </w:r>
      <w:r w:rsidRPr="00827539">
        <w:rPr>
          <w:sz w:val="28"/>
          <w:szCs w:val="28"/>
        </w:rPr>
        <w:t>и мерами.</w:t>
      </w:r>
    </w:p>
    <w:p w:rsidR="00827539" w:rsidRPr="00827539" w:rsidRDefault="00827539" w:rsidP="00827539">
      <w:pPr>
        <w:rPr>
          <w:sz w:val="28"/>
          <w:szCs w:val="28"/>
        </w:rPr>
      </w:pPr>
      <w:r w:rsidRPr="00827539">
        <w:rPr>
          <w:sz w:val="28"/>
          <w:szCs w:val="28"/>
        </w:rPr>
        <w:t>«Китай последовательно выступает против вмешательства США во внутренние дела Кубы под предлогом «свободы», «демократии» и «борьбы с терроризмом» и поддерживает справедливую борьбу кубинского народа за защиту своего суверенитета и достоинства, а также его противодействие блокад</w:t>
      </w:r>
      <w:r w:rsidRPr="00827539">
        <w:rPr>
          <w:sz w:val="28"/>
          <w:szCs w:val="28"/>
        </w:rPr>
        <w:t>е и санкциям», — заявили в МИД.</w:t>
      </w:r>
    </w:p>
    <w:p w:rsidR="00827539" w:rsidRPr="00827539" w:rsidRDefault="00827539" w:rsidP="00827539">
      <w:pPr>
        <w:rPr>
          <w:sz w:val="28"/>
          <w:szCs w:val="28"/>
        </w:rPr>
      </w:pPr>
      <w:r w:rsidRPr="00827539">
        <w:rPr>
          <w:sz w:val="28"/>
          <w:szCs w:val="28"/>
        </w:rPr>
        <w:t>В ответ на вопрос Prensa Latina пресс-служба подчеркнула, что Вашингтон «исторически отступает, все глубже и глубже ступая на ложный путь санкций и блокады». Она добавила, что США открыто выступают против справедливости и равенства, которые широко отвергаются международным сообществом.</w:t>
      </w:r>
    </w:p>
    <w:p w:rsidR="00827539" w:rsidRPr="00827539" w:rsidRDefault="00827539" w:rsidP="00827539">
      <w:pPr>
        <w:rPr>
          <w:sz w:val="28"/>
          <w:szCs w:val="28"/>
        </w:rPr>
      </w:pPr>
      <w:r w:rsidRPr="00827539">
        <w:rPr>
          <w:sz w:val="28"/>
          <w:szCs w:val="28"/>
        </w:rPr>
        <w:t>Пекин повторил свой призыв к Вашингтону как можно скорее снять полную блокаду Кубы и исключить Кубу из списка «государств-спонсоров терроризма». Он также призвал администрацию США сделать больше для улучшения отношений между Кубой и Соединенными Штатами, а также для содействия рег</w:t>
      </w:r>
      <w:r w:rsidRPr="00827539">
        <w:rPr>
          <w:sz w:val="28"/>
          <w:szCs w:val="28"/>
        </w:rPr>
        <w:t>иональному миру и стабильности.</w:t>
      </w:r>
    </w:p>
    <w:p w:rsidR="00827539" w:rsidRPr="00827539" w:rsidRDefault="00827539" w:rsidP="00827539">
      <w:pPr>
        <w:rPr>
          <w:sz w:val="28"/>
          <w:szCs w:val="28"/>
        </w:rPr>
      </w:pPr>
      <w:r w:rsidRPr="00827539">
        <w:rPr>
          <w:sz w:val="28"/>
          <w:szCs w:val="28"/>
        </w:rPr>
        <w:t>В своем заявлении МИД напомнил, что блокада США против Кубы на протяжении более 60 лет серьезно нарушает международное право и причиняет огромные страдания куби</w:t>
      </w:r>
      <w:r w:rsidRPr="00827539">
        <w:rPr>
          <w:sz w:val="28"/>
          <w:szCs w:val="28"/>
        </w:rPr>
        <w:t>нскому народу.</w:t>
      </w:r>
    </w:p>
    <w:p w:rsidR="00827539" w:rsidRPr="00827539" w:rsidRDefault="00827539" w:rsidP="00827539">
      <w:pPr>
        <w:rPr>
          <w:sz w:val="28"/>
          <w:szCs w:val="28"/>
        </w:rPr>
      </w:pPr>
      <w:r w:rsidRPr="00827539">
        <w:rPr>
          <w:sz w:val="28"/>
          <w:szCs w:val="28"/>
        </w:rPr>
        <w:t>Недавно госсекретарь США Марко Рубио восстановил Ограничительный список Кубы, что стало еще одним шагом в восстановлении «жесткой» политики США в отношении Кубы в</w:t>
      </w:r>
      <w:r w:rsidRPr="00827539">
        <w:rPr>
          <w:sz w:val="28"/>
          <w:szCs w:val="28"/>
        </w:rPr>
        <w:t xml:space="preserve"> течение следующих четырех лет.</w:t>
      </w:r>
    </w:p>
    <w:p w:rsidR="00827539" w:rsidRPr="00827539" w:rsidRDefault="00827539" w:rsidP="00827539">
      <w:pPr>
        <w:rPr>
          <w:sz w:val="28"/>
          <w:szCs w:val="28"/>
        </w:rPr>
      </w:pPr>
      <w:r w:rsidRPr="00827539">
        <w:rPr>
          <w:sz w:val="28"/>
          <w:szCs w:val="28"/>
        </w:rPr>
        <w:t xml:space="preserve">В заявлении под названием «Восстановление жесткой политики США-Куба» Рубио не только вернул в этот список уже санкционированные </w:t>
      </w:r>
      <w:r w:rsidRPr="00827539">
        <w:rPr>
          <w:sz w:val="28"/>
          <w:szCs w:val="28"/>
        </w:rPr>
        <w:lastRenderedPageBreak/>
        <w:t>организации, но и добавил еще одну: Orbit, S.A., канал для отпра</w:t>
      </w:r>
      <w:r w:rsidRPr="00827539">
        <w:rPr>
          <w:sz w:val="28"/>
          <w:szCs w:val="28"/>
        </w:rPr>
        <w:t>вки денежных переводов на Кубу.</w:t>
      </w:r>
    </w:p>
    <w:p w:rsidR="005D1134" w:rsidRPr="00CE37BA" w:rsidRDefault="00827539" w:rsidP="00184FF8">
      <w:pPr>
        <w:rPr>
          <w:b/>
          <w:sz w:val="28"/>
          <w:szCs w:val="28"/>
        </w:rPr>
      </w:pPr>
      <w:r w:rsidRPr="00827539">
        <w:rPr>
          <w:sz w:val="28"/>
          <w:szCs w:val="28"/>
        </w:rPr>
        <w:t>В течение своего первого срока (2017-2021) Трамп ввел не менее 243 санкций, которые усилили блокаду, давящую на кубинский народ, что характеризует политику его правительства по максимальному давлению на Кубу.</w:t>
      </w:r>
      <w:r w:rsidRPr="00827539">
        <w:rPr>
          <w:rFonts w:ascii="Helvetica" w:hAnsi="Helvetica" w:cs="Helvetica"/>
          <w:b/>
          <w:color w:val="262626"/>
          <w:sz w:val="27"/>
          <w:szCs w:val="27"/>
          <w:shd w:val="clear" w:color="auto" w:fill="FFFFFF"/>
        </w:rPr>
        <w:t xml:space="preserve"> </w:t>
      </w:r>
      <w:r w:rsidRPr="00D23CCC">
        <w:rPr>
          <w:rFonts w:ascii="Helvetica" w:hAnsi="Helvetica" w:cs="Helvetica"/>
          <w:b/>
          <w:color w:val="262626"/>
          <w:sz w:val="27"/>
          <w:szCs w:val="27"/>
          <w:shd w:val="clear" w:color="auto" w:fill="FFFFFF"/>
        </w:rPr>
        <w:t>(Пренса Латина)</w:t>
      </w:r>
    </w:p>
    <w:p w:rsidR="00320A92" w:rsidRDefault="00AA74CE" w:rsidP="00320A92">
      <w:pPr>
        <w:pStyle w:val="Ttulo2"/>
        <w:framePr w:w="5880" w:h="526" w:hRule="exact" w:wrap="notBeside" w:x="3189" w:y="1"/>
      </w:pPr>
      <w:bookmarkStart w:id="9" w:name="_Toc190077293"/>
      <w:r w:rsidRPr="001F77E0">
        <w:t>МЕЖДУНАРОДНЫЕ ОТНОШЕНИЯ</w:t>
      </w:r>
      <w:bookmarkEnd w:id="9"/>
    </w:p>
    <w:p w:rsidR="00320A92" w:rsidRDefault="00320A92" w:rsidP="00320A92">
      <w:pPr>
        <w:pStyle w:val="Ttulo1"/>
      </w:pPr>
      <w:bookmarkStart w:id="10" w:name="_Toc190077294"/>
      <w:r w:rsidRPr="00320A92">
        <w:t>Парламентарии Кубы и Намибии провели переговоры в Гаване</w:t>
      </w:r>
      <w:bookmarkEnd w:id="10"/>
    </w:p>
    <w:p w:rsidR="00320A92" w:rsidRDefault="00320A92" w:rsidP="00320A9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92A8ED7" wp14:editId="40B6925E">
            <wp:extent cx="1504950" cy="1046411"/>
            <wp:effectExtent l="0" t="0" r="0" b="1905"/>
            <wp:docPr id="2" name="Imagen 2" descr="https://ruso.prensa-latina.cu/wp-content/uploads/2025/02/cuba-namibi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2/cuba-namibia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93" cy="105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92" w:rsidRPr="00320A92" w:rsidRDefault="00320A92" w:rsidP="00320A92">
      <w:pPr>
        <w:rPr>
          <w:sz w:val="28"/>
          <w:szCs w:val="28"/>
          <w:lang w:eastAsia="es-ES"/>
        </w:rPr>
      </w:pPr>
      <w:r w:rsidRPr="00320A92">
        <w:rPr>
          <w:sz w:val="28"/>
          <w:szCs w:val="28"/>
          <w:lang w:eastAsia="es-ES"/>
        </w:rPr>
        <w:t xml:space="preserve">Гавана, 7 февраля. </w:t>
      </w:r>
      <w:r w:rsidRPr="00320A92">
        <w:rPr>
          <w:sz w:val="28"/>
          <w:szCs w:val="28"/>
          <w:lang w:eastAsia="es-ES"/>
        </w:rPr>
        <w:t>Секретарь Национальной ассамблеи народной власти Кубы (парламент) Омеро Акоста сегодня встретился с министром юстиции Намибии Ивонной Даусаб.</w:t>
      </w:r>
    </w:p>
    <w:p w:rsidR="00320A92" w:rsidRPr="00320A92" w:rsidRDefault="00320A92" w:rsidP="00320A92">
      <w:pPr>
        <w:rPr>
          <w:sz w:val="28"/>
          <w:szCs w:val="28"/>
          <w:lang w:eastAsia="es-ES"/>
        </w:rPr>
      </w:pPr>
      <w:r w:rsidRPr="00320A92">
        <w:rPr>
          <w:sz w:val="28"/>
          <w:szCs w:val="28"/>
          <w:lang w:eastAsia="es-ES"/>
        </w:rPr>
        <w:t>По данным парламента в социальной сети X, во время встречи, состоявшейся в Национальном Капитолии, Акоста поделился кубинским законодательным опытом, особенно в конституционных вопросах, а также опытом после провозглашения новой К</w:t>
      </w:r>
      <w:r w:rsidRPr="00320A92">
        <w:rPr>
          <w:sz w:val="28"/>
          <w:szCs w:val="28"/>
          <w:lang w:eastAsia="es-ES"/>
        </w:rPr>
        <w:t>онституции 10 апреля 2019 года.</w:t>
      </w:r>
    </w:p>
    <w:p w:rsidR="00320A92" w:rsidRPr="00320A92" w:rsidRDefault="00320A92" w:rsidP="00320A92">
      <w:pPr>
        <w:rPr>
          <w:sz w:val="28"/>
          <w:szCs w:val="28"/>
          <w:lang w:eastAsia="es-ES"/>
        </w:rPr>
      </w:pPr>
      <w:r w:rsidRPr="00320A92">
        <w:rPr>
          <w:sz w:val="28"/>
          <w:szCs w:val="28"/>
          <w:lang w:eastAsia="es-ES"/>
        </w:rPr>
        <w:t>Он также рассказал об особенностях и деятельности 10-го законодательного</w:t>
      </w:r>
      <w:r w:rsidRPr="00320A92">
        <w:rPr>
          <w:sz w:val="28"/>
          <w:szCs w:val="28"/>
          <w:lang w:eastAsia="es-ES"/>
        </w:rPr>
        <w:t xml:space="preserve"> периода кубинского парламента.</w:t>
      </w:r>
    </w:p>
    <w:p w:rsidR="00320A92" w:rsidRPr="00320A92" w:rsidRDefault="00320A92" w:rsidP="00320A92">
      <w:pPr>
        <w:rPr>
          <w:sz w:val="28"/>
          <w:szCs w:val="28"/>
          <w:lang w:eastAsia="es-ES"/>
        </w:rPr>
      </w:pPr>
      <w:r w:rsidRPr="00320A92">
        <w:rPr>
          <w:sz w:val="28"/>
          <w:szCs w:val="28"/>
          <w:lang w:eastAsia="es-ES"/>
        </w:rPr>
        <w:t>В этот день председатель Комитета по конституционным и правовым вопросам Национальной ассамблеи народной власти Хосе Луис Толедо также принял делегацию исп</w:t>
      </w:r>
      <w:r w:rsidRPr="00320A92">
        <w:rPr>
          <w:sz w:val="28"/>
          <w:szCs w:val="28"/>
          <w:lang w:eastAsia="es-ES"/>
        </w:rPr>
        <w:t>анских юристов.</w:t>
      </w:r>
    </w:p>
    <w:p w:rsidR="00320A92" w:rsidRPr="00320A92" w:rsidRDefault="00320A92" w:rsidP="00320A92">
      <w:pPr>
        <w:rPr>
          <w:sz w:val="28"/>
          <w:szCs w:val="28"/>
          <w:lang w:eastAsia="es-ES"/>
        </w:rPr>
      </w:pPr>
      <w:r w:rsidRPr="00320A92">
        <w:rPr>
          <w:sz w:val="28"/>
          <w:szCs w:val="28"/>
          <w:lang w:eastAsia="es-ES"/>
        </w:rPr>
        <w:t>IV Международный конгресс JurisCuba 2024 соберет на Кубе, начиная с этой среды, 5 февраля, более 300 национальных делегатов и 41 иностранного делегата из Намибии, Испании, Германии, Китая, России, Италии, Мексики, Венесуэлы и Доминиканской</w:t>
      </w:r>
      <w:r w:rsidRPr="00320A92">
        <w:rPr>
          <w:sz w:val="28"/>
          <w:szCs w:val="28"/>
          <w:lang w:eastAsia="es-ES"/>
        </w:rPr>
        <w:t xml:space="preserve"> Республики.</w:t>
      </w:r>
    </w:p>
    <w:p w:rsidR="00320A92" w:rsidRPr="00320A92" w:rsidRDefault="00320A92" w:rsidP="00320A92">
      <w:pPr>
        <w:rPr>
          <w:sz w:val="28"/>
          <w:szCs w:val="28"/>
          <w:lang w:eastAsia="es-ES"/>
        </w:rPr>
      </w:pPr>
      <w:r w:rsidRPr="00320A92">
        <w:rPr>
          <w:sz w:val="28"/>
          <w:szCs w:val="28"/>
          <w:lang w:eastAsia="es-ES"/>
        </w:rPr>
        <w:t>Мероприятие пройдет в столичном Конгресс-центре под девизом «Правовая безопасность — вызов современного мира».</w:t>
      </w:r>
      <w:r w:rsidRPr="00320A92">
        <w:rPr>
          <w:sz w:val="28"/>
          <w:szCs w:val="28"/>
          <w:lang w:eastAsia="es-ES"/>
        </w:rPr>
        <w:t xml:space="preserve"> </w:t>
      </w:r>
      <w:r w:rsidRPr="00320A92">
        <w:rPr>
          <w:sz w:val="28"/>
          <w:szCs w:val="28"/>
          <w:lang w:eastAsia="es-ES"/>
        </w:rPr>
        <w:t>(Пренса Латина)</w:t>
      </w:r>
    </w:p>
    <w:p w:rsidR="00AC0EFC" w:rsidRDefault="00D23CCC" w:rsidP="00B139E0">
      <w:pPr>
        <w:pStyle w:val="Ttulo1"/>
      </w:pPr>
      <w:bookmarkStart w:id="11" w:name="_Toc190077295"/>
      <w:r w:rsidRPr="00D23CCC">
        <w:t>Университеты Эквадора и Кубы подписали соглашение о сотрудничестве</w:t>
      </w:r>
      <w:bookmarkEnd w:id="11"/>
    </w:p>
    <w:p w:rsidR="00D23CCC" w:rsidRPr="00D23CCC" w:rsidRDefault="00D23CCC" w:rsidP="00D23CCC">
      <w:pPr>
        <w:rPr>
          <w:lang w:eastAsia="es-ES"/>
        </w:rPr>
      </w:pPr>
    </w:p>
    <w:p w:rsidR="00D23CCC" w:rsidRPr="00D23CCC" w:rsidRDefault="00D23CCC" w:rsidP="00D23CCC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719E5D5" wp14:editId="7792F35E">
            <wp:extent cx="1657350" cy="870109"/>
            <wp:effectExtent l="0" t="0" r="0" b="6350"/>
            <wp:docPr id="14" name="Imagen 14" descr="https://ruso.prensa-latina.cu/wp-content/uploads/2025/02/Ecuador-Cuba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2/Ecuador-Cuba-1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12" cy="8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CC" w:rsidRPr="00D23CCC" w:rsidRDefault="00D23CCC" w:rsidP="00D23CCC">
      <w:pPr>
        <w:rPr>
          <w:sz w:val="28"/>
          <w:szCs w:val="28"/>
        </w:rPr>
      </w:pPr>
      <w:r w:rsidRPr="00D23CCC">
        <w:rPr>
          <w:sz w:val="28"/>
          <w:szCs w:val="28"/>
        </w:rPr>
        <w:t>Матансас, Куба, 4 февраля. Университет туристических специальностей (UDET) Эквадора и Университет Матансаса (UM) подписали сегодня межведомственное соглашение о сотрудничестве с целью укрепления академических связей.</w:t>
      </w:r>
    </w:p>
    <w:p w:rsidR="00D23CCC" w:rsidRPr="00D23CCC" w:rsidRDefault="00D23CCC" w:rsidP="00D23CCC">
      <w:pPr>
        <w:rPr>
          <w:sz w:val="28"/>
          <w:szCs w:val="28"/>
        </w:rPr>
      </w:pPr>
      <w:r w:rsidRPr="00D23CCC">
        <w:rPr>
          <w:sz w:val="28"/>
          <w:szCs w:val="28"/>
        </w:rPr>
        <w:t>Ректор UDET и доктор наук Вильдон Теодомиро Салас, который проходил докторантуру в UM, признался, что Матансас — это больше, чем университет, это дом, где он приобрел знания и прожил моменты, ознаменовавшие его личную и профессиональную жизнь.</w:t>
      </w:r>
    </w:p>
    <w:p w:rsidR="00D23CCC" w:rsidRPr="00D23CCC" w:rsidRDefault="00D23CCC" w:rsidP="00D23CCC">
      <w:pPr>
        <w:rPr>
          <w:sz w:val="28"/>
          <w:szCs w:val="28"/>
        </w:rPr>
      </w:pPr>
      <w:r w:rsidRPr="00D23CCC">
        <w:rPr>
          <w:sz w:val="28"/>
          <w:szCs w:val="28"/>
        </w:rPr>
        <w:t>По его словам, это соглашение не только символизирует связь между двумя учреждениями, но и создает мост для обмена знаниями и опытом, который обогатит студентов и преподавателей обоих университетов.</w:t>
      </w:r>
    </w:p>
    <w:p w:rsidR="00D23CCC" w:rsidRPr="00D23CCC" w:rsidRDefault="00D23CCC" w:rsidP="00D23CCC">
      <w:pPr>
        <w:rPr>
          <w:sz w:val="28"/>
          <w:szCs w:val="28"/>
        </w:rPr>
      </w:pPr>
      <w:r w:rsidRPr="00D23CCC">
        <w:rPr>
          <w:sz w:val="28"/>
          <w:szCs w:val="28"/>
        </w:rPr>
        <w:t>Салас подчеркнул важность того, чтобы группа преподавателей UDET имела возможность получить научную степень в академических центрах Матансаса.</w:t>
      </w:r>
    </w:p>
    <w:p w:rsidR="00D23CCC" w:rsidRPr="00D23CCC" w:rsidRDefault="00D23CCC" w:rsidP="00D23CCC">
      <w:pPr>
        <w:rPr>
          <w:sz w:val="28"/>
          <w:szCs w:val="28"/>
        </w:rPr>
      </w:pPr>
      <w:r w:rsidRPr="00D23CCC">
        <w:rPr>
          <w:sz w:val="28"/>
          <w:szCs w:val="28"/>
        </w:rPr>
        <w:t>По словам доктора, это соглашение представляет собой прекрасную возможность для будущих поколений ученых обеих стран и возможность укрепления отношений между Эквадором и Кубой.</w:t>
      </w:r>
    </w:p>
    <w:p w:rsidR="00D23CCC" w:rsidRPr="00D23CCC" w:rsidRDefault="00D23CCC" w:rsidP="00D23CCC">
      <w:pPr>
        <w:rPr>
          <w:sz w:val="28"/>
          <w:szCs w:val="28"/>
        </w:rPr>
      </w:pPr>
      <w:r w:rsidRPr="00D23CCC">
        <w:rPr>
          <w:sz w:val="28"/>
          <w:szCs w:val="28"/>
        </w:rPr>
        <w:t>Ректор УМ Лейда Финале заявила, что оба образовательных центра стремятся исследовать новые области сотрудничества, что является одной из основных целей соглашения.</w:t>
      </w:r>
    </w:p>
    <w:p w:rsidR="00AC0EFC" w:rsidRDefault="00D23CCC" w:rsidP="00D23CCC">
      <w:pPr>
        <w:rPr>
          <w:b/>
          <w:sz w:val="28"/>
          <w:szCs w:val="28"/>
        </w:rPr>
      </w:pPr>
      <w:r w:rsidRPr="00D23CCC">
        <w:rPr>
          <w:sz w:val="28"/>
          <w:szCs w:val="28"/>
        </w:rPr>
        <w:t>Финале добавила, что подписание этого альянса подтверждает приверженность качественному образованию и всестороннему развитию студентов и преподавателей для содействия будущему, полному возможностей.</w:t>
      </w:r>
      <w:r w:rsidRPr="00D23CCC">
        <w:rPr>
          <w:b/>
          <w:sz w:val="28"/>
          <w:szCs w:val="28"/>
        </w:rPr>
        <w:t xml:space="preserve"> (Пренса Латина)</w:t>
      </w:r>
    </w:p>
    <w:p w:rsidR="00D23CCC" w:rsidRDefault="00082633" w:rsidP="00082633">
      <w:pPr>
        <w:pStyle w:val="Ttulo1"/>
      </w:pPr>
      <w:bookmarkStart w:id="12" w:name="_Toc190077296"/>
      <w:r w:rsidRPr="00082633">
        <w:t>Куба и Колумбия выступают за укрепление межпарламентских связей</w:t>
      </w:r>
      <w:bookmarkEnd w:id="12"/>
    </w:p>
    <w:p w:rsidR="00082633" w:rsidRDefault="00082633" w:rsidP="00082633">
      <w:pPr>
        <w:jc w:val="center"/>
        <w:rPr>
          <w:b/>
          <w:sz w:val="28"/>
          <w:szCs w:val="28"/>
        </w:rPr>
      </w:pPr>
    </w:p>
    <w:p w:rsidR="00082633" w:rsidRDefault="00082633" w:rsidP="00082633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B8F58EE" wp14:editId="25537F00">
            <wp:extent cx="1400175" cy="1022784"/>
            <wp:effectExtent l="0" t="0" r="0" b="6350"/>
            <wp:docPr id="15" name="Imagen 15" descr="https://ruso.prensa-latina.cu/wp-content/uploads/2025/02/colombia-cu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2/colombia-cuba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58" cy="10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Гавана, 4 февраля. Кубинские и колумбийские законодатели выразили желание укрепить связи в областях, представляющих взаимный интерес, на встрече, состоявшейся в штаб-квартире Национальной ассамблеи народной власти (парламент).</w:t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В ходе встречи вице-президент парламента и Государственного совета Ана Мария Мари Мачадо поблагодарила своих колумбийских коллег за их заявления в пользу исключения Кубы из списка Госдепартамента США стран, предположительно спонсирующих терроризм.</w:t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Передала благодарность своей страны за поддержку в борьбе с экономической, торговой и финансовой блокадой, введенной правительством этой северной державы против карибского государства.</w:t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Сенатор Глория Флорес заявила, что этот визит позволит парламентской группе дружбы возобновить свою работу после недавнего ознакомления с кубинской реальностью и осознания необходимости укрепления двусторонних связей.</w:t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Мы благодарим кубинский народ за то, что он принял нас как парламентскую группу дружбы. Отсюда мы говорим о латиноамериканской интеграции, мире и союзе наших народов, что становится все более важным в нынешних условиях, написала Флорес в своем аккаунте в социальной сети X.</w:t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Также на этой цифровой платформе представитель Палаты представителей Габриэль Бесерра подчеркнул основные результаты после создания Парламентской группы дружбы в 2022 году, связанные с присутствием в Боготе министра иностранных дел Кубы Бруно Родригеса.</w:t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Сегодня, как никогда, перед лицом произвола, мы говорим вместе с (Хосе) Марти, что «тот, кто сегодня выступает за Кубу, выступает за все времена» и за всё человечество, сказал он в своем послании.</w:t>
      </w:r>
    </w:p>
    <w:p w:rsidR="00082633" w:rsidRPr="00082633" w:rsidRDefault="00082633" w:rsidP="00082633">
      <w:pPr>
        <w:rPr>
          <w:sz w:val="28"/>
          <w:szCs w:val="28"/>
        </w:rPr>
      </w:pPr>
      <w:r w:rsidRPr="00082633">
        <w:rPr>
          <w:sz w:val="28"/>
          <w:szCs w:val="28"/>
        </w:rPr>
        <w:t>Флорес и Бесерра возглавляют парламентскую группу дружбы с Кубой в обеих палатах Конгресса и посещают остров в сопровождении законодателей Марии Фернанды Карраскаль, Эдуарда Сармьенто и Алехандро Окампо, сообщает кубинский парламент.</w:t>
      </w:r>
    </w:p>
    <w:p w:rsidR="00082633" w:rsidRDefault="00082633" w:rsidP="00B139E0">
      <w:pPr>
        <w:rPr>
          <w:b/>
          <w:sz w:val="28"/>
          <w:szCs w:val="28"/>
        </w:rPr>
      </w:pPr>
      <w:r w:rsidRPr="00082633">
        <w:rPr>
          <w:sz w:val="28"/>
          <w:szCs w:val="28"/>
        </w:rPr>
        <w:lastRenderedPageBreak/>
        <w:t>Колумбийская делегация приняла участие в Парламентском форуме за мир с суверенитетом и демократией, проходившем в рамках VI Международной конференции за равновесие в мире «Со всеми и для блага всех».</w:t>
      </w:r>
      <w:r w:rsidRPr="00082633">
        <w:rPr>
          <w:b/>
          <w:sz w:val="28"/>
          <w:szCs w:val="28"/>
        </w:rPr>
        <w:t xml:space="preserve"> (Пренса Латина)</w:t>
      </w:r>
    </w:p>
    <w:p w:rsidR="003700B3" w:rsidRPr="003700B3" w:rsidRDefault="003700B3" w:rsidP="00B139E0">
      <w:pPr>
        <w:pStyle w:val="Ttulo1"/>
      </w:pPr>
      <w:bookmarkStart w:id="13" w:name="_Toc190077297"/>
      <w:r w:rsidRPr="003700B3">
        <w:t>Марко Рубио обрушился с критикой на Кубу, Венесуэлу и Никарагуа</w:t>
      </w:r>
      <w:bookmarkEnd w:id="13"/>
    </w:p>
    <w:p w:rsidR="003700B3" w:rsidRDefault="003700B3" w:rsidP="003700B3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0F3BE2FE" wp14:editId="077FE266">
            <wp:extent cx="1484740" cy="990600"/>
            <wp:effectExtent l="0" t="0" r="1270" b="0"/>
            <wp:docPr id="3" name="Imagen 3" descr="https://ruso.prensa-latina.cu/wp-content/uploads/2025/02/marco-rd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2/marco-rd-1-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73" cy="10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 xml:space="preserve">Санто-Доминго, 7 февраля. </w:t>
      </w:r>
      <w:r w:rsidRPr="00CD4123">
        <w:rPr>
          <w:sz w:val="28"/>
          <w:szCs w:val="28"/>
        </w:rPr>
        <w:t>Государственный секретарь США Марко Рубио сегодня вновь обрушился с критикой на правительства Кубы, Венесуэлы и Никарагуа и их возможное присутствие на 10-</w:t>
      </w:r>
      <w:r w:rsidRPr="00CD4123">
        <w:rPr>
          <w:sz w:val="28"/>
          <w:szCs w:val="28"/>
        </w:rPr>
        <w:t>м саммите Америк в этой стране.</w:t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>Рубио провел пресс-конференцию по завершении своего рабочего визита в Доминиканскую Республику, куда он прибыл вчера вечером в рамках своей первой поездки по странам Центральной</w:t>
      </w:r>
      <w:r w:rsidRPr="00CD4123">
        <w:rPr>
          <w:sz w:val="28"/>
          <w:szCs w:val="28"/>
        </w:rPr>
        <w:t xml:space="preserve"> Америки и Карибского бассейна.</w:t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>Спецпредставитель Белого дома уклончиво ответил на вопрос местного журналиста о том, сможет ли правительство США оказать давление на эти три правительства, чтобы они не были приглашены, или, если нет, не будут ли они присутствовать на встрече, если их приг</w:t>
      </w:r>
      <w:r w:rsidRPr="00CD4123">
        <w:rPr>
          <w:sz w:val="28"/>
          <w:szCs w:val="28"/>
        </w:rPr>
        <w:t>ласит президент Луис Абинадер.</w:t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>Во время совместной конференции с доминиканским лидером в Национальном дворце он воспользовался возможностью, чтобы выдвинуть аргумент о том, что «эти три страны являются врагами человечества», и обвинил их в содействии нест</w:t>
      </w:r>
      <w:r w:rsidRPr="00CD4123">
        <w:rPr>
          <w:sz w:val="28"/>
          <w:szCs w:val="28"/>
        </w:rPr>
        <w:t>абильности в регионе.</w:t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 xml:space="preserve">Президент Кубы Мигель Диас-Канель отверг заявления госсекретаря США Марко Рубио, который назвал Кубу, Никарагуа и </w:t>
      </w:r>
      <w:r w:rsidRPr="00CD4123">
        <w:rPr>
          <w:sz w:val="28"/>
          <w:szCs w:val="28"/>
        </w:rPr>
        <w:t>Венесуэлу врагами человечества.</w:t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>Во время визита в Коста-Рику в рамках поездки американский политик обвинил эти три страны в ответственности з</w:t>
      </w:r>
      <w:r w:rsidRPr="00CD4123">
        <w:rPr>
          <w:sz w:val="28"/>
          <w:szCs w:val="28"/>
        </w:rPr>
        <w:t>а нынешний миграционный кризис.</w:t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 xml:space="preserve">«Циничные политики США вновь проявляют бесстыдство», — заявил кубинский президент в социальной сети X, отметив, что миграционный </w:t>
      </w:r>
      <w:r w:rsidRPr="00CD4123">
        <w:rPr>
          <w:sz w:val="28"/>
          <w:szCs w:val="28"/>
        </w:rPr>
        <w:lastRenderedPageBreak/>
        <w:t>исход на поток с острова пропорционален ужесточению политики блокады эт</w:t>
      </w:r>
      <w:r w:rsidRPr="00CD4123">
        <w:rPr>
          <w:sz w:val="28"/>
          <w:szCs w:val="28"/>
        </w:rPr>
        <w:t>ой северной державы.</w:t>
      </w:r>
    </w:p>
    <w:p w:rsidR="00CD4123" w:rsidRPr="00CD4123" w:rsidRDefault="00CD4123" w:rsidP="00CD4123">
      <w:pPr>
        <w:rPr>
          <w:sz w:val="28"/>
          <w:szCs w:val="28"/>
        </w:rPr>
      </w:pPr>
      <w:r w:rsidRPr="00CD4123">
        <w:rPr>
          <w:sz w:val="28"/>
          <w:szCs w:val="28"/>
        </w:rPr>
        <w:t>Глава кубинского государства указал на то, что экономическая блокада США лишает кубинский народ товаров первой необходимости, и предупредил об опасности для человечества неофашизма,</w:t>
      </w:r>
      <w:r w:rsidRPr="00CD4123">
        <w:rPr>
          <w:sz w:val="28"/>
          <w:szCs w:val="28"/>
        </w:rPr>
        <w:t xml:space="preserve"> пропагандируемого Вашингтоном.</w:t>
      </w:r>
    </w:p>
    <w:p w:rsidR="003700B3" w:rsidRPr="0050182B" w:rsidRDefault="00CD4123" w:rsidP="00B139E0">
      <w:pPr>
        <w:rPr>
          <w:b/>
          <w:sz w:val="28"/>
          <w:szCs w:val="28"/>
        </w:rPr>
      </w:pPr>
      <w:r w:rsidRPr="00CD4123">
        <w:rPr>
          <w:sz w:val="28"/>
          <w:szCs w:val="28"/>
        </w:rPr>
        <w:t>В этот четверг десятки левых политических, патриотических и общественных организаций Доминиканской Республики отвергли присутствие здесь Марко Рубио, посчитав, что он намерен навязать правительству Луиса Абинадера колониальную повестку дня Вашингтона.</w:t>
      </w:r>
      <w:r w:rsidRPr="00CD4123">
        <w:rPr>
          <w:b/>
          <w:sz w:val="28"/>
          <w:szCs w:val="28"/>
        </w:rPr>
        <w:t xml:space="preserve"> </w:t>
      </w:r>
      <w:r w:rsidRPr="00CD4123">
        <w:rPr>
          <w:b/>
          <w:sz w:val="28"/>
          <w:szCs w:val="28"/>
        </w:rPr>
        <w:t>(Пренса Латина)</w:t>
      </w:r>
    </w:p>
    <w:p w:rsidR="006A7A86" w:rsidRPr="008B56A9" w:rsidRDefault="006F6234" w:rsidP="008B56A9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14" w:name="_Toc190077298"/>
      <w:r w:rsidRPr="006F6234">
        <w:t>ДВУСТОРОННИЕ ОТНОШЕНИЯ</w:t>
      </w:r>
      <w:bookmarkEnd w:id="14"/>
    </w:p>
    <w:p w:rsidR="006A7A86" w:rsidRDefault="006A7A86" w:rsidP="008B56A9">
      <w:pPr>
        <w:pStyle w:val="Ttulo1"/>
      </w:pPr>
      <w:bookmarkStart w:id="15" w:name="_Toc190077299"/>
      <w:r w:rsidRPr="006A7A86">
        <w:t>Кубинские сотрудники в Москве принимают участие в мероприятиях, посвященных Дню дипломатии.</w:t>
      </w:r>
      <w:bookmarkEnd w:id="15"/>
    </w:p>
    <w:p w:rsidR="008B56A9" w:rsidRPr="008B56A9" w:rsidRDefault="008B56A9" w:rsidP="008B56A9">
      <w:pPr>
        <w:jc w:val="center"/>
        <w:rPr>
          <w:lang w:eastAsia="es-ES"/>
        </w:rPr>
      </w:pPr>
      <w:r w:rsidRPr="008B56A9">
        <w:rPr>
          <w:noProof/>
          <w:sz w:val="28"/>
          <w:szCs w:val="28"/>
          <w:lang w:val="es-ES" w:eastAsia="es-ES"/>
        </w:rPr>
        <w:drawing>
          <wp:inline distT="0" distB="0" distL="0" distR="0" wp14:anchorId="65256F31" wp14:editId="6827A070">
            <wp:extent cx="1457325" cy="1018509"/>
            <wp:effectExtent l="0" t="0" r="0" b="0"/>
            <wp:docPr id="1" name="Imagen 1" descr="D:\perfil.politico3\Escritorio\bda4fea2-d53b-49df-978f-0aa2bd5d2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3\Escritorio\bda4fea2-d53b-49df-978f-0aa2bd5d27e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50" cy="10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86" w:rsidRPr="008B56A9" w:rsidRDefault="006A7A86" w:rsidP="006A7A86">
      <w:pPr>
        <w:rPr>
          <w:rFonts w:cs="Arial"/>
          <w:sz w:val="28"/>
          <w:szCs w:val="28"/>
        </w:rPr>
      </w:pPr>
      <w:r w:rsidRPr="008B56A9">
        <w:rPr>
          <w:rFonts w:cs="Arial"/>
          <w:sz w:val="28"/>
          <w:szCs w:val="28"/>
        </w:rPr>
        <w:t>Москва, 6 февраля. Дипломатический клуб Москвы и Совет молодых дипломатов организовали мероприятие, приуроченное к празднованию 10 февраля Дня дипломатического работника. Этот профессиональный праздник, установленный Указом Президента Российской Федерации в 2002 году, является признанием лучших традиций российской дипломатии, значительного вклада дипломатической службы в решение широкого круга государственных задач в целях создания благоприятных условий для устойчивого развития России и благополучия ее граждан.</w:t>
      </w:r>
    </w:p>
    <w:p w:rsidR="006A7A86" w:rsidRPr="008B56A9" w:rsidRDefault="006A7A86" w:rsidP="006A7A86">
      <w:pPr>
        <w:rPr>
          <w:rFonts w:cs="Arial"/>
          <w:sz w:val="28"/>
          <w:szCs w:val="28"/>
        </w:rPr>
      </w:pPr>
      <w:r w:rsidRPr="008B56A9">
        <w:rPr>
          <w:rFonts w:cs="Arial"/>
          <w:sz w:val="28"/>
          <w:szCs w:val="28"/>
        </w:rPr>
        <w:t>На мероприятии была отмечена работа департаментов Министерства иностранных дел Российской Федерации, организаций и частных лиц, активно поддерживающих деятельность Московского дипломатического клуба. В мероприятии приняли участие представители аккредитованного дипломатического корпуса стран Содружества Независимых Государств, Азии, Африки и Латинской Америки.</w:t>
      </w:r>
    </w:p>
    <w:p w:rsidR="006A7A86" w:rsidRPr="008B56A9" w:rsidRDefault="006A7A86" w:rsidP="006A7A86">
      <w:pPr>
        <w:rPr>
          <w:rFonts w:cs="Arial"/>
          <w:sz w:val="28"/>
          <w:szCs w:val="28"/>
        </w:rPr>
      </w:pPr>
      <w:r w:rsidRPr="008B56A9">
        <w:rPr>
          <w:rFonts w:cs="Arial"/>
          <w:sz w:val="28"/>
          <w:szCs w:val="28"/>
        </w:rPr>
        <w:t>В это же время был представлен новый секретарь Совета молодых дипломатов Екатерина Акапян, сменившая на этом посту Костантина Колпакова.</w:t>
      </w:r>
    </w:p>
    <w:p w:rsidR="006A7A86" w:rsidRPr="008B56A9" w:rsidRDefault="006A7A86" w:rsidP="006A7A86">
      <w:pPr>
        <w:rPr>
          <w:rFonts w:cs="Arial"/>
          <w:sz w:val="28"/>
          <w:szCs w:val="28"/>
          <w:lang w:val="es-ES"/>
        </w:rPr>
      </w:pPr>
      <w:r w:rsidRPr="008B56A9">
        <w:rPr>
          <w:rFonts w:cs="Arial"/>
          <w:sz w:val="28"/>
          <w:szCs w:val="28"/>
        </w:rPr>
        <w:lastRenderedPageBreak/>
        <w:t>На мероприятии также присутствовали вторые секретари Мэри Лаура Лофорте и Адриан Ривас.</w:t>
      </w:r>
      <w:r w:rsidRPr="008B56A9">
        <w:rPr>
          <w:sz w:val="28"/>
          <w:szCs w:val="28"/>
        </w:rPr>
        <w:t xml:space="preserve"> </w:t>
      </w:r>
      <w:r w:rsidRPr="008B56A9">
        <w:rPr>
          <w:b/>
          <w:sz w:val="28"/>
          <w:szCs w:val="28"/>
          <w:lang w:val="es-ES"/>
        </w:rPr>
        <w:t>(</w:t>
      </w:r>
      <w:r w:rsidRPr="008B56A9">
        <w:rPr>
          <w:rFonts w:cs="Arial"/>
          <w:b/>
          <w:sz w:val="28"/>
          <w:szCs w:val="28"/>
        </w:rPr>
        <w:t>Посольство Кубы в России</w:t>
      </w:r>
      <w:r w:rsidRPr="008B56A9">
        <w:rPr>
          <w:rFonts w:cs="Arial"/>
          <w:b/>
          <w:sz w:val="28"/>
          <w:szCs w:val="28"/>
          <w:lang w:val="es-ES"/>
        </w:rPr>
        <w:t>)</w:t>
      </w:r>
    </w:p>
    <w:p w:rsidR="006A7A86" w:rsidRPr="008B56A9" w:rsidRDefault="006A7A86" w:rsidP="001A05BB">
      <w:pPr>
        <w:rPr>
          <w:sz w:val="28"/>
          <w:szCs w:val="28"/>
          <w:lang w:val="es-ES" w:eastAsia="es-ES"/>
        </w:rPr>
      </w:pPr>
    </w:p>
    <w:sectPr w:rsidR="006A7A86" w:rsidRPr="008B56A9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0B" w:rsidRDefault="00B9730B" w:rsidP="00EB21F3">
      <w:r>
        <w:separator/>
      </w:r>
    </w:p>
  </w:endnote>
  <w:endnote w:type="continuationSeparator" w:id="0">
    <w:p w:rsidR="00B9730B" w:rsidRDefault="00B9730B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58">
          <w:rPr>
            <w:noProof/>
          </w:rPr>
          <w:t>10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0B" w:rsidRDefault="00B9730B" w:rsidP="00EB21F3">
      <w:r>
        <w:separator/>
      </w:r>
    </w:p>
  </w:footnote>
  <w:footnote w:type="continuationSeparator" w:id="0">
    <w:p w:rsidR="00B9730B" w:rsidRDefault="00B9730B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633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E7AD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8DC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3FF0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0E5B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05BB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4C94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1C34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2F6132"/>
    <w:rsid w:val="002F7258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A92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0B3"/>
    <w:rsid w:val="0037014D"/>
    <w:rsid w:val="00370196"/>
    <w:rsid w:val="00370344"/>
    <w:rsid w:val="0037078B"/>
    <w:rsid w:val="003707B7"/>
    <w:rsid w:val="00371385"/>
    <w:rsid w:val="00371AE4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49B2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1CDC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134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829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DDE"/>
    <w:rsid w:val="006A3FE1"/>
    <w:rsid w:val="006A4280"/>
    <w:rsid w:val="006A595B"/>
    <w:rsid w:val="006A640A"/>
    <w:rsid w:val="006A67C2"/>
    <w:rsid w:val="006A7847"/>
    <w:rsid w:val="006A7A86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52F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539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2E9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6A9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B7FE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31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0EFC"/>
    <w:rsid w:val="00AC1343"/>
    <w:rsid w:val="00AC156B"/>
    <w:rsid w:val="00AC15D1"/>
    <w:rsid w:val="00AC160B"/>
    <w:rsid w:val="00AC26BA"/>
    <w:rsid w:val="00AC32C2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8DE"/>
    <w:rsid w:val="00AF4A49"/>
    <w:rsid w:val="00AF4C99"/>
    <w:rsid w:val="00AF5270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2522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9730B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48F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96F3F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123"/>
    <w:rsid w:val="00CD4C92"/>
    <w:rsid w:val="00CD5156"/>
    <w:rsid w:val="00CD5E2A"/>
    <w:rsid w:val="00CD677C"/>
    <w:rsid w:val="00CE0C42"/>
    <w:rsid w:val="00CE10D8"/>
    <w:rsid w:val="00CE3764"/>
    <w:rsid w:val="00CE37BA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CCC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5FC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20B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0B4D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63A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3F"/>
    <w:rsid w:val="00F96079"/>
    <w:rsid w:val="00F961E2"/>
    <w:rsid w:val="00F97694"/>
    <w:rsid w:val="00F97782"/>
    <w:rsid w:val="00F97859"/>
    <w:rsid w:val="00F978C3"/>
    <w:rsid w:val="00F97FB8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18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CF5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770A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B32EAF-D466-4BC7-8F5F-B23187FA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10</Pages>
  <Words>2242</Words>
  <Characters>12337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1953</cp:revision>
  <dcterms:created xsi:type="dcterms:W3CDTF">2022-05-03T10:45:00Z</dcterms:created>
  <dcterms:modified xsi:type="dcterms:W3CDTF">2025-02-10T07:54:00Z</dcterms:modified>
</cp:coreProperties>
</file>